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1473" w14:textId="77777777" w:rsidR="00DD2DBE" w:rsidRPr="00641871" w:rsidRDefault="00DD2DBE" w:rsidP="00DD2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AL-FARABI KAZAKH NATIONAL UNIVERSITY</w:t>
      </w:r>
    </w:p>
    <w:p w14:paraId="15D44191" w14:textId="77777777" w:rsidR="00DD2DBE" w:rsidRPr="00641871" w:rsidRDefault="00DD2DBE" w:rsidP="00DD2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Department of International Relations</w:t>
      </w:r>
    </w:p>
    <w:p w14:paraId="0AE41D96" w14:textId="77777777" w:rsidR="00DD2DBE" w:rsidRPr="00641871" w:rsidRDefault="00DD2DBE" w:rsidP="00DD2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Chair of Diplomatic Translation</w:t>
      </w:r>
    </w:p>
    <w:p w14:paraId="6C4FC906" w14:textId="77777777" w:rsidR="00DD2DBE" w:rsidRPr="00641871" w:rsidRDefault="00DD2DBE" w:rsidP="00DD2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Translation business in the field of international and legal relations</w:t>
      </w:r>
    </w:p>
    <w:p w14:paraId="4BDFDA99" w14:textId="77777777" w:rsidR="00DD2DBE" w:rsidRPr="00641871" w:rsidRDefault="00DD2DBE" w:rsidP="00DD2DB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“Translation of Scientific and Technical Documents”</w:t>
      </w:r>
    </w:p>
    <w:p w14:paraId="65D1FD51" w14:textId="77777777" w:rsidR="00DD2DBE" w:rsidRPr="00641871" w:rsidRDefault="00DD2DBE" w:rsidP="00DD2DBE">
      <w:pPr>
        <w:jc w:val="center"/>
        <w:rPr>
          <w:rFonts w:ascii="Times New Roman" w:hAnsi="Times New Roman" w:cs="Times New Roman"/>
          <w:color w:val="000000"/>
          <w:kern w:val="0"/>
          <w:lang w:val="en-US"/>
        </w:rPr>
      </w:pPr>
      <w:r w:rsidRPr="00641871">
        <w:rPr>
          <w:rFonts w:ascii="Times New Roman" w:hAnsi="Times New Roman" w:cs="Times New Roman"/>
          <w:color w:val="000000"/>
          <w:kern w:val="0"/>
          <w:lang w:val="en-US"/>
        </w:rPr>
        <w:t>2024-2025 academic year, fall semester</w:t>
      </w:r>
    </w:p>
    <w:p w14:paraId="43EFEF2E" w14:textId="77777777" w:rsidR="00DD2DBE" w:rsidRPr="00641871" w:rsidRDefault="00DD2DBE" w:rsidP="00DD2DBE">
      <w:pPr>
        <w:jc w:val="both"/>
        <w:rPr>
          <w:rFonts w:ascii="Times New Roman" w:hAnsi="Times New Roman" w:cs="Times New Roman"/>
          <w:color w:val="000000"/>
          <w:kern w:val="0"/>
          <w:lang w:val="en-US"/>
        </w:rPr>
      </w:pPr>
    </w:p>
    <w:p w14:paraId="66B7A0FC" w14:textId="355E80A8" w:rsidR="00DD2DBE" w:rsidRPr="00641871" w:rsidRDefault="00DD2DBE" w:rsidP="00DD2DBE">
      <w:pPr>
        <w:jc w:val="center"/>
        <w:rPr>
          <w:rFonts w:ascii="Times New Roman" w:hAnsi="Times New Roman" w:cs="Times New Roman"/>
          <w:b/>
          <w:bCs/>
          <w:color w:val="000000"/>
          <w:kern w:val="0"/>
          <w:lang w:val="en-US"/>
        </w:rPr>
      </w:pPr>
      <w:r w:rsidRPr="00641871">
        <w:rPr>
          <w:rFonts w:ascii="Times New Roman" w:hAnsi="Times New Roman" w:cs="Times New Roman"/>
          <w:b/>
          <w:bCs/>
          <w:color w:val="000000"/>
          <w:kern w:val="0"/>
          <w:lang w:val="en-US"/>
        </w:rPr>
        <w:t xml:space="preserve">Lecture </w:t>
      </w:r>
      <w:r>
        <w:rPr>
          <w:rFonts w:ascii="Times New Roman" w:hAnsi="Times New Roman" w:cs="Times New Roman"/>
          <w:b/>
          <w:bCs/>
          <w:color w:val="000000"/>
          <w:kern w:val="0"/>
          <w:lang w:val="en-US"/>
        </w:rPr>
        <w:t>10</w:t>
      </w:r>
    </w:p>
    <w:p w14:paraId="2DA7C541" w14:textId="77777777" w:rsidR="00DD2DBE" w:rsidRDefault="00DD2DBE" w:rsidP="00DD2DBE">
      <w:pPr>
        <w:rPr>
          <w:rFonts w:ascii="Times New Roman" w:hAnsi="Times New Roman" w:cs="Times New Roman"/>
          <w:b/>
          <w:lang w:val="en"/>
        </w:rPr>
      </w:pPr>
      <w:r w:rsidRPr="00641871">
        <w:rPr>
          <w:rFonts w:ascii="Times New Roman" w:hAnsi="Times New Roman" w:cs="Times New Roman"/>
          <w:b/>
          <w:bCs/>
          <w:lang w:val="en"/>
        </w:rPr>
        <w:t xml:space="preserve">Module 2: </w:t>
      </w:r>
      <w:r w:rsidRPr="00641871">
        <w:rPr>
          <w:rFonts w:ascii="Times New Roman" w:hAnsi="Times New Roman" w:cs="Times New Roman"/>
          <w:b/>
          <w:lang w:val="en-US"/>
        </w:rPr>
        <w:t xml:space="preserve">Resources for </w:t>
      </w:r>
      <w:r w:rsidRPr="00641871">
        <w:rPr>
          <w:rFonts w:ascii="Times New Roman" w:hAnsi="Times New Roman" w:cs="Times New Roman"/>
          <w:b/>
          <w:lang w:val="en"/>
        </w:rPr>
        <w:t>scientific and technical translation</w:t>
      </w:r>
    </w:p>
    <w:p w14:paraId="519D8A9A" w14:textId="1C46EF99" w:rsidR="00DD2DBE" w:rsidRPr="00DD2DBE" w:rsidRDefault="00DD2DBE" w:rsidP="00DD2DBE">
      <w:pPr>
        <w:rPr>
          <w:rFonts w:ascii="Times New Roman" w:hAnsi="Times New Roman" w:cs="Times New Roman"/>
          <w:b/>
          <w:bCs/>
          <w:lang w:val="en-US"/>
        </w:rPr>
      </w:pPr>
      <w:r w:rsidRPr="00DD2DBE">
        <w:rPr>
          <w:rFonts w:ascii="Times New Roman" w:hAnsi="Times New Roman" w:cs="Times New Roman"/>
          <w:b/>
          <w:bCs/>
          <w:lang w:val="en-US"/>
        </w:rPr>
        <w:t xml:space="preserve">Community translation in healthcare institutions  </w:t>
      </w:r>
    </w:p>
    <w:p w14:paraId="25C2C627"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Community translation plays a crucial role in healthcare settings, ensuring that language barriers do not hinder access to medical services. As populations become increasingly diverse, the demand for effective communication in healthcare rises, making community translation essential for patient care and health equity.</w:t>
      </w:r>
    </w:p>
    <w:p w14:paraId="551D3BAD" w14:textId="3493D792"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Community Translation: Refers to translation done by community members or bilingual individuals, often in informal settings, to help facilitate communication between healthcare providers and patients who speak different languages.</w:t>
      </w:r>
    </w:p>
    <w:p w14:paraId="5D8734C9" w14:textId="5A995FA9"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Forms of Community Translation: Includes both verbal interpretation (during consultations) and written translation (health materials, consent forms).</w:t>
      </w:r>
    </w:p>
    <w:p w14:paraId="6AA3AD5F" w14:textId="48F7BFAB"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Importance in Healthcare</w:t>
      </w:r>
    </w:p>
    <w:p w14:paraId="20C6DAF6" w14:textId="7560A1B1"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1. Improved Patient Outcomes</w:t>
      </w:r>
    </w:p>
    <w:p w14:paraId="07CAC612"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Effective communication leads to better understanding of medical advice, treatment adherence, and overall health literacy.</w:t>
      </w:r>
    </w:p>
    <w:p w14:paraId="091D4495"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Reduces the likelihood of medical errors that can arise from misunderstandings.</w:t>
      </w:r>
    </w:p>
    <w:p w14:paraId="2B35428A" w14:textId="63B2DE9A"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2. Culturally Competent Care</w:t>
      </w:r>
    </w:p>
    <w:p w14:paraId="354675E9"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Community translators bring cultural insights that enhance trust and rapport between healthcare providers and patients.</w:t>
      </w:r>
    </w:p>
    <w:p w14:paraId="6B2633F3"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Helps providers understand cultural contexts that influence health beliefs and practices.</w:t>
      </w:r>
    </w:p>
    <w:p w14:paraId="2F54DCD2" w14:textId="67C2AC4B"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3. Legal and Ethical Obligations</w:t>
      </w:r>
    </w:p>
    <w:p w14:paraId="65A82793"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Compliance with regulations like Title VI of the Civil Rights Act, which mandates access to language services in federally funded programs.</w:t>
      </w:r>
    </w:p>
    <w:p w14:paraId="7F031095"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Ethical responsibility to ensure informed consent and equitable care for all patients.</w:t>
      </w:r>
    </w:p>
    <w:p w14:paraId="2378ED37" w14:textId="3258B1E2"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lastRenderedPageBreak/>
        <w:t>Challenges</w:t>
      </w:r>
    </w:p>
    <w:p w14:paraId="02EF0AB9" w14:textId="7FCC0263"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1. Quality and Accuracy</w:t>
      </w:r>
    </w:p>
    <w:p w14:paraId="277AFB0E"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Community translators may lack formal training, leading to potential inaccuracies in medical terminology.</w:t>
      </w:r>
    </w:p>
    <w:p w14:paraId="33FE0322"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Risk of miscommunication, especially in critical healthcare discussions.</w:t>
      </w:r>
    </w:p>
    <w:p w14:paraId="30A2A031" w14:textId="670EF7CF"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2. Resource Constraints</w:t>
      </w:r>
    </w:p>
    <w:p w14:paraId="69E84653"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Limited budgets in many healthcare institutions can restrict access to professional translation services.</w:t>
      </w:r>
    </w:p>
    <w:p w14:paraId="0EDEC5C8"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Availability of community translators may vary, especially in underserved areas.</w:t>
      </w:r>
    </w:p>
    <w:p w14:paraId="6FA7A52F" w14:textId="3D6CC0B8"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3. Emotional and Psychological Factors</w:t>
      </w:r>
    </w:p>
    <w:p w14:paraId="0D78E8E0"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Sensitive topics in healthcare can complicate translations, and community translators may face discomfort discussing personal issues.</w:t>
      </w:r>
    </w:p>
    <w:p w14:paraId="728A82F5"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Patients might feel hesitant to share personal health details with someone from their community.</w:t>
      </w:r>
    </w:p>
    <w:p w14:paraId="0AF17C79" w14:textId="102A268B"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Best Practices for Implementation</w:t>
      </w:r>
    </w:p>
    <w:p w14:paraId="6F6DF5F7" w14:textId="13B42265"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1. Training and Education</w:t>
      </w:r>
    </w:p>
    <w:p w14:paraId="6881F33F"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Providing training for community translators on medical terminology and cultural sensitivity.</w:t>
      </w:r>
    </w:p>
    <w:p w14:paraId="5C5DB517"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Creating resources and guidelines to assist translators in navigating complex healthcare conversations.</w:t>
      </w:r>
    </w:p>
    <w:p w14:paraId="1D7B864F" w14:textId="6A6868B0"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2. Collaboration with Healthcare Professionals</w:t>
      </w:r>
    </w:p>
    <w:p w14:paraId="26DC43F1"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Encourage partnerships between healthcare providers and community translators to ensure clarity and effectiveness in communication.</w:t>
      </w:r>
    </w:p>
    <w:p w14:paraId="6B2733B7"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Regular updates on medical protocols and terminology to keep translators informed.</w:t>
      </w:r>
    </w:p>
    <w:p w14:paraId="1341AC51" w14:textId="04AA8089"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3. Technology Utilization</w:t>
      </w:r>
    </w:p>
    <w:p w14:paraId="597C5B5E"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Using mobile apps and translation software to support community translators.</w:t>
      </w:r>
    </w:p>
    <w:p w14:paraId="56EF8115"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Implementing telehealth solutions for real-time translation services.</w:t>
      </w:r>
    </w:p>
    <w:p w14:paraId="5373B906" w14:textId="25EEB84A"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4. Feedback Mechanisms</w:t>
      </w:r>
    </w:p>
    <w:p w14:paraId="198DFF10"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Establishing systems for patients to give feedback on translation quality.</w:t>
      </w:r>
    </w:p>
    <w:p w14:paraId="777EC128"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Utilizing feedback to enhance translation practices and address any gaps.</w:t>
      </w:r>
    </w:p>
    <w:p w14:paraId="266FE7F2" w14:textId="5220B936"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lastRenderedPageBreak/>
        <w:t>Case Studies and Success Stories</w:t>
      </w:r>
    </w:p>
    <w:p w14:paraId="67EAE5FC" w14:textId="7F67D53D"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Examples of Effective Programs</w:t>
      </w:r>
    </w:p>
    <w:p w14:paraId="3985EAA2"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Highlight specific healthcare institutions that have successfully integrated community translation, showcasing positive impacts on patient engagement and health outcomes.</w:t>
      </w:r>
    </w:p>
    <w:p w14:paraId="61872CE1"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 Discuss initiatives that involve community input, leading to tailored health materials that resonate with local populations.</w:t>
      </w:r>
    </w:p>
    <w:p w14:paraId="7558CCA1" w14:textId="552B8AA4"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Conclusion</w:t>
      </w:r>
    </w:p>
    <w:p w14:paraId="6AAF4262" w14:textId="77777777" w:rsidR="00DD2DBE" w:rsidRPr="00DD2DBE" w:rsidRDefault="00DD2DBE" w:rsidP="00DD2DBE">
      <w:pPr>
        <w:rPr>
          <w:rFonts w:ascii="Times New Roman" w:hAnsi="Times New Roman" w:cs="Times New Roman"/>
          <w:bCs/>
          <w:lang w:val="en"/>
        </w:rPr>
      </w:pPr>
      <w:r w:rsidRPr="00DD2DBE">
        <w:rPr>
          <w:rFonts w:ascii="Times New Roman" w:hAnsi="Times New Roman" w:cs="Times New Roman"/>
          <w:bCs/>
          <w:lang w:val="en"/>
        </w:rPr>
        <w:t>Community translation is a vital component of healthcare institutions, ensuring effective communication and equitable access to medical services. By investing in training, fostering collaboration, and leveraging technology, healthcare providers can significantly improve the quality of care for diverse patient populations. As we move forward, prioritizing community translation will be essential in creating an inclusive healthcare environment.</w:t>
      </w:r>
    </w:p>
    <w:p w14:paraId="6AAA44D6" w14:textId="77777777" w:rsidR="00005911" w:rsidRPr="00DD2DBE" w:rsidRDefault="00005911">
      <w:pPr>
        <w:rPr>
          <w:lang w:val="en"/>
        </w:rPr>
      </w:pPr>
    </w:p>
    <w:sectPr w:rsidR="00005911" w:rsidRPr="00DD2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11"/>
    <w:rsid w:val="00005911"/>
    <w:rsid w:val="00DD2DBE"/>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5FDEB481"/>
  <w15:chartTrackingRefBased/>
  <w15:docId w15:val="{5F91E19C-CF21-1142-BB1F-574A6C6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BE"/>
  </w:style>
  <w:style w:type="paragraph" w:styleId="Heading1">
    <w:name w:val="heading 1"/>
    <w:basedOn w:val="Normal"/>
    <w:next w:val="Normal"/>
    <w:link w:val="Heading1Char"/>
    <w:uiPriority w:val="9"/>
    <w:qFormat/>
    <w:rsid w:val="00005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5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59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59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59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59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59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59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59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9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9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9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9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9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9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9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9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911"/>
    <w:rPr>
      <w:rFonts w:eastAsiaTheme="majorEastAsia" w:cstheme="majorBidi"/>
      <w:color w:val="272727" w:themeColor="text1" w:themeTint="D8"/>
    </w:rPr>
  </w:style>
  <w:style w:type="paragraph" w:styleId="Title">
    <w:name w:val="Title"/>
    <w:basedOn w:val="Normal"/>
    <w:next w:val="Normal"/>
    <w:link w:val="TitleChar"/>
    <w:uiPriority w:val="10"/>
    <w:qFormat/>
    <w:rsid w:val="00005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9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59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59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5911"/>
    <w:pPr>
      <w:spacing w:before="160"/>
      <w:jc w:val="center"/>
    </w:pPr>
    <w:rPr>
      <w:i/>
      <w:iCs/>
      <w:color w:val="404040" w:themeColor="text1" w:themeTint="BF"/>
    </w:rPr>
  </w:style>
  <w:style w:type="character" w:customStyle="1" w:styleId="QuoteChar">
    <w:name w:val="Quote Char"/>
    <w:basedOn w:val="DefaultParagraphFont"/>
    <w:link w:val="Quote"/>
    <w:uiPriority w:val="29"/>
    <w:rsid w:val="00005911"/>
    <w:rPr>
      <w:i/>
      <w:iCs/>
      <w:color w:val="404040" w:themeColor="text1" w:themeTint="BF"/>
    </w:rPr>
  </w:style>
  <w:style w:type="paragraph" w:styleId="ListParagraph">
    <w:name w:val="List Paragraph"/>
    <w:basedOn w:val="Normal"/>
    <w:uiPriority w:val="34"/>
    <w:qFormat/>
    <w:rsid w:val="00005911"/>
    <w:pPr>
      <w:ind w:left="720"/>
      <w:contextualSpacing/>
    </w:pPr>
  </w:style>
  <w:style w:type="character" w:styleId="IntenseEmphasis">
    <w:name w:val="Intense Emphasis"/>
    <w:basedOn w:val="DefaultParagraphFont"/>
    <w:uiPriority w:val="21"/>
    <w:qFormat/>
    <w:rsid w:val="00005911"/>
    <w:rPr>
      <w:i/>
      <w:iCs/>
      <w:color w:val="0F4761" w:themeColor="accent1" w:themeShade="BF"/>
    </w:rPr>
  </w:style>
  <w:style w:type="paragraph" w:styleId="IntenseQuote">
    <w:name w:val="Intense Quote"/>
    <w:basedOn w:val="Normal"/>
    <w:next w:val="Normal"/>
    <w:link w:val="IntenseQuoteChar"/>
    <w:uiPriority w:val="30"/>
    <w:qFormat/>
    <w:rsid w:val="00005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911"/>
    <w:rPr>
      <w:i/>
      <w:iCs/>
      <w:color w:val="0F4761" w:themeColor="accent1" w:themeShade="BF"/>
    </w:rPr>
  </w:style>
  <w:style w:type="character" w:styleId="IntenseReference">
    <w:name w:val="Intense Reference"/>
    <w:basedOn w:val="DefaultParagraphFont"/>
    <w:uiPriority w:val="32"/>
    <w:qFormat/>
    <w:rsid w:val="000059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2024-09-26T11:07:00Z</dcterms:created>
  <dcterms:modified xsi:type="dcterms:W3CDTF">2024-09-26T11:51:00Z</dcterms:modified>
</cp:coreProperties>
</file>